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firstLine="720"/>
        <w:jc w:val="center"/>
        <w:rPr>
          <w:rFonts w:ascii="Calibri" w:cs="Calibri" w:eastAsia="Calibri" w:hAnsi="Calibri"/>
          <w:sz w:val="48"/>
          <w:szCs w:val="48"/>
          <w:u w:val="single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48"/>
          <w:szCs w:val="48"/>
          <w:u w:val="single"/>
          <w:rtl w:val="0"/>
        </w:rPr>
        <w:t xml:space="preserve">4th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have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multiplication facts from 0-12 memorized prior to the start of school. (flash cards, internet search result: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multiplication fluency practice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pocket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folders with 3 prongs (to put in additional paper)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Red and Yellow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 pair of headphones or earbuds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Hand held pencil sharpener for personal use (labeled with name)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Reusable water bottle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container of disinfecting wipes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box of pencils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package of pencil top erasers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composition notebook for Spanish.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magenta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spiral notebook for Spanish.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spiral notebook for classroom use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The following items are used in the classroom and would be greatly appreciated: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Tissues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Paper towels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Additional disinfectant wipes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Recess equipment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Extra folders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Scope On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spacing w:before="240" w:line="240" w:lineRule="auto"/>
      <w:jc w:val="center"/>
      <w:rPr/>
    </w:pPr>
    <w:r w:rsidDel="00000000" w:rsidR="00000000" w:rsidRPr="00000000">
      <w:rPr>
        <w:rFonts w:ascii="Scope One" w:cs="Scope One" w:eastAsia="Scope One" w:hAnsi="Scope One"/>
        <w:sz w:val="48"/>
        <w:szCs w:val="48"/>
        <w:u w:val="single"/>
      </w:rPr>
      <w:drawing>
        <wp:inline distB="114300" distT="114300" distL="114300" distR="114300">
          <wp:extent cx="5576888" cy="9473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130" l="0" r="0" t="5691"/>
                  <a:stretch>
                    <a:fillRect/>
                  </a:stretch>
                </pic:blipFill>
                <pic:spPr>
                  <a:xfrm>
                    <a:off x="0" y="0"/>
                    <a:ext cx="5576888" cy="9473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search?q=multiplication+fluency+worksheets&amp;ei=olFhYqjlH7aWkPIPrqSN8Ak&amp;ved=0ahUKEwiovpi_l6X3AhU2C0QIHS5SA54Q4dUDCA4&amp;uact=5&amp;oq=multiplication+fluency+worksheets&amp;gs_lcp=Cgdnd3Mtd2l6EAMyBwgAEEcQsAMyBwgAEEcQsAMyBwgAEEcQsAMyBwgAEEcQsAMyBwgAEEcQsAMyBwgAEEcQsAMyBwgAEEcQsAMyBwgAEEcQsANKBAhBGABKBAhGGABQAFgAYPEFaAFwAXgAgAEAiAEAkgEAmAEAyAEIwAEB&amp;sclient=gws-wiz&amp;safe=active&amp;ssui=on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opeOn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